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val="false"/>
        <w:spacing w:before="0" w:after="0" w:lineRule="auto" w:line="240"/>
        <w:ind w:right="-1" w:firstLine="0"/>
        <w:jc w:val="center"/>
        <w:rPr>
          <w:rFonts w:ascii="Gill Sans MT" w:cs="Gill Sans MT" w:hAnsi="Gill Sans MT"/>
          <w:b/>
          <w:bCs/>
        </w:rPr>
      </w:pPr>
      <w:r>
        <w:rPr>
          <w:rFonts w:ascii="Gill Sans MT" w:cs="Gill Sans MT" w:hAnsi="Gill Sans MT"/>
          <w:b/>
          <w:bCs/>
        </w:rPr>
        <w:drawing>
          <wp:anchor distT="0" distB="0" distL="114300" distR="114300" simplePos="false" relativeHeight="2" behindDoc="false" locked="false" layoutInCell="true" allowOverlap="true">
            <wp:simplePos x="0" y="0"/>
            <wp:positionH relativeFrom="column">
              <wp:posOffset>2394585</wp:posOffset>
            </wp:positionH>
            <wp:positionV relativeFrom="paragraph">
              <wp:posOffset>-343535</wp:posOffset>
            </wp:positionV>
            <wp:extent cx="1045210" cy="977265"/>
            <wp:effectExtent l="0" t="0" r="0" b="0"/>
            <wp:wrapTight wrapText="bothSides">
              <wp:wrapPolygon edited="false">
                <wp:start x="7421" y="0"/>
                <wp:lineTo x="4653" y="2095"/>
                <wp:lineTo x="699" y="6287"/>
                <wp:lineTo x="699" y="14251"/>
                <wp:lineTo x="1092" y="15926"/>
                <wp:lineTo x="7020" y="20540"/>
                <wp:lineTo x="9002" y="20960"/>
                <wp:lineTo x="12163" y="20960"/>
                <wp:lineTo x="14136" y="20540"/>
                <wp:lineTo x="20065" y="15513"/>
                <wp:lineTo x="20859" y="6708"/>
                <wp:lineTo x="13743" y="0"/>
                <wp:lineTo x="7421" y="0"/>
              </wp:wrapPolygon>
            </wp:wrapTight>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045210" cy="977265"/>
                    </a:xfrm>
                    <a:prstGeom prst="rect"/>
                  </pic:spPr>
                </pic:pic>
              </a:graphicData>
            </a:graphic>
          </wp:anchor>
        </w:drawing>
      </w:r>
    </w:p>
    <w:p>
      <w:pPr>
        <w:pStyle w:val="style0"/>
        <w:widowControl w:val="false"/>
        <w:tabs>
          <w:tab w:val="left" w:leader="none" w:pos="1985"/>
        </w:tabs>
        <w:spacing w:before="0" w:after="0" w:lineRule="auto" w:line="240"/>
        <w:ind w:right="-137" w:firstLine="0"/>
        <w:jc w:val="center"/>
        <w:rPr>
          <w:rFonts w:ascii="Gill Sans MT" w:cs="Gill Sans MT" w:hAnsi="Gill Sans MT"/>
          <w:b/>
          <w:bCs/>
        </w:rPr>
      </w:pPr>
    </w:p>
    <w:p>
      <w:pPr>
        <w:pStyle w:val="style0"/>
        <w:widowControl w:val="false"/>
        <w:tabs>
          <w:tab w:val="left" w:leader="none" w:pos="1985"/>
        </w:tabs>
        <w:spacing w:before="0" w:after="0" w:lineRule="auto" w:line="240"/>
        <w:ind w:right="-137" w:firstLine="0"/>
        <w:jc w:val="center"/>
        <w:rPr>
          <w:rFonts w:ascii="Gill Sans MT" w:cs="Gill Sans MT" w:hAnsi="Gill Sans MT"/>
          <w:b/>
          <w:bCs/>
        </w:rPr>
      </w:pPr>
    </w:p>
    <w:p>
      <w:pPr>
        <w:pStyle w:val="style0"/>
        <w:widowControl w:val="false"/>
        <w:spacing w:before="0" w:after="0" w:lineRule="auto" w:line="240"/>
        <w:ind w:right="-1" w:firstLine="0"/>
        <w:jc w:val="center"/>
        <w:rPr>
          <w:rFonts w:ascii="Gill Sans MT" w:cs="Gill Sans MT" w:hAnsi="Gill Sans MT"/>
          <w:b/>
          <w:bCs/>
        </w:rPr>
      </w:pPr>
    </w:p>
    <w:p>
      <w:pPr>
        <w:pStyle w:val="style0"/>
        <w:widowControl w:val="false"/>
        <w:spacing w:before="0" w:after="0" w:lineRule="auto" w:line="240"/>
        <w:ind w:right="-1" w:firstLine="0"/>
        <w:jc w:val="center"/>
        <w:rPr>
          <w:rFonts w:ascii="Arial Black" w:cs="Gill Sans MT" w:hAnsi="Arial Black"/>
          <w:b/>
          <w:bCs/>
        </w:rPr>
      </w:pPr>
    </w:p>
    <w:p>
      <w:pPr>
        <w:pStyle w:val="style0"/>
        <w:widowControl w:val="false"/>
        <w:spacing w:before="0" w:after="0" w:lineRule="auto" w:line="240"/>
        <w:ind w:right="-1" w:firstLine="0"/>
        <w:jc w:val="center"/>
        <w:rPr>
          <w:rFonts w:ascii="Arial Black" w:cs="Gill Sans MT" w:hAnsi="Arial Black"/>
          <w:b/>
          <w:bCs/>
        </w:rPr>
      </w:pPr>
    </w:p>
    <w:p>
      <w:pPr>
        <w:pStyle w:val="style0"/>
        <w:widowControl w:val="false"/>
        <w:spacing w:before="0" w:after="0" w:lineRule="auto" w:line="240"/>
        <w:ind w:right="-1"/>
        <w:jc w:val="left"/>
        <w:rPr>
          <w:rFonts w:ascii="Arial Black" w:cs="Gill Sans MT" w:hAnsi="Arial Black"/>
          <w:b/>
          <w:bCs/>
        </w:rPr>
      </w:pPr>
      <w:r>
        <w:rPr>
          <w:rFonts w:cs="Gill Sans MT" w:hAnsi="Arial Black"/>
          <w:b/>
          <w:bCs/>
          <w:lang w:val="en-US"/>
        </w:rPr>
        <w:t xml:space="preserve">                                                           </w:t>
      </w:r>
      <w:r>
        <w:rPr>
          <w:rFonts w:ascii="Arial Black" w:cs="Gill Sans MT" w:hAnsi="Arial Black"/>
          <w:b/>
          <w:bCs/>
        </w:rPr>
        <w:t>Kementerian Koordinator</w:t>
      </w:r>
    </w:p>
    <w:p>
      <w:pPr>
        <w:pStyle w:val="style0"/>
        <w:widowControl w:val="false"/>
        <w:spacing w:before="0" w:after="0" w:lineRule="auto" w:line="240"/>
        <w:ind w:right="-1" w:firstLine="0"/>
        <w:jc w:val="center"/>
        <w:rPr>
          <w:rFonts w:ascii="Arial Black" w:cs="Gill Sans MT" w:hAnsi="Arial Black"/>
          <w:b/>
          <w:bCs/>
        </w:rPr>
      </w:pPr>
      <w:r>
        <w:rPr>
          <w:rFonts w:ascii="Arial Black" w:cs="Gill Sans MT" w:hAnsi="Arial Black"/>
          <w:b/>
          <w:bCs/>
        </w:rPr>
        <w:t>Bidang Pembangunan Manusia dan Kebudayaan</w:t>
      </w:r>
    </w:p>
    <w:p>
      <w:pPr>
        <w:pStyle w:val="style0"/>
        <w:widowControl w:val="false"/>
        <w:spacing w:before="0" w:after="0" w:lineRule="auto" w:line="240"/>
        <w:ind w:right="-1" w:firstLine="0"/>
        <w:jc w:val="center"/>
        <w:rPr>
          <w:rFonts w:ascii="Arial Black" w:cs="Gill Sans MT" w:hAnsi="Arial Black"/>
          <w:b/>
          <w:bCs/>
        </w:rPr>
      </w:pPr>
      <w:r>
        <w:rPr>
          <w:rFonts w:ascii="Arial Black" w:cs="Gill Sans MT" w:hAnsi="Arial Black"/>
          <w:b/>
          <w:bCs/>
        </w:rPr>
        <w:t>Republik Indonesia</w:t>
      </w:r>
    </w:p>
    <w:p>
      <w:pPr>
        <w:pStyle w:val="style0"/>
        <w:widowControl w:val="false"/>
        <w:tabs>
          <w:tab w:val="left" w:leader="none" w:pos="1985"/>
        </w:tabs>
        <w:spacing w:before="0" w:after="0" w:lineRule="auto" w:line="240"/>
        <w:ind w:right="-136" w:firstLine="0"/>
        <w:jc w:val="both"/>
        <w:rPr>
          <w:rFonts w:ascii="Gill Sans MT" w:cs="Gill Sans MT" w:hAnsi="Gill Sans MT"/>
          <w:b/>
          <w:bCs/>
          <w:sz w:val="20"/>
        </w:rPr>
      </w:pPr>
    </w:p>
    <w:p>
      <w:pPr>
        <w:pStyle w:val="style0"/>
        <w:widowControl w:val="false"/>
        <w:spacing w:before="0" w:after="0" w:lineRule="auto" w:line="240"/>
        <w:ind w:right="-136" w:firstLine="0"/>
        <w:jc w:val="both"/>
        <w:rPr>
          <w:rFonts w:cs="Calibri"/>
          <w:b/>
          <w:bCs/>
        </w:rPr>
      </w:pPr>
      <w:r>
        <w:rPr>
          <w:rFonts w:cs="Calibri"/>
          <w:b/>
          <w:bCs/>
        </w:rPr>
        <w:t xml:space="preserve">SIARAN PERS No : </w:t>
      </w:r>
      <w:r>
        <w:rPr>
          <w:rFonts w:cs="Calibri"/>
          <w:b/>
          <w:bCs/>
          <w:lang w:val="en-US"/>
        </w:rPr>
        <w:t>21</w:t>
      </w:r>
      <w:r>
        <w:rPr>
          <w:rFonts w:cs="Calibri"/>
          <w:b/>
          <w:bCs/>
        </w:rPr>
        <w:t>/HumasPMK/</w:t>
      </w:r>
      <w:r>
        <w:rPr>
          <w:rFonts w:cs="Calibri"/>
          <w:b/>
          <w:bCs/>
        </w:rPr>
        <w:t>I</w:t>
      </w:r>
      <w:r>
        <w:rPr>
          <w:rFonts w:cs="Calibri"/>
          <w:b/>
          <w:bCs/>
        </w:rPr>
        <w:t>I/2018</w:t>
      </w:r>
    </w:p>
    <w:p>
      <w:pPr>
        <w:pStyle w:val="style0"/>
        <w:widowControl w:val="false"/>
        <w:spacing w:before="0" w:after="0" w:lineRule="auto" w:line="240"/>
        <w:ind w:right="-136" w:firstLine="0"/>
        <w:jc w:val="both"/>
        <w:rPr/>
      </w:pPr>
    </w:p>
    <w:p>
      <w:pPr>
        <w:pStyle w:val="style0"/>
        <w:widowControl w:val="false"/>
        <w:spacing w:before="0" w:after="0" w:lineRule="auto" w:line="240"/>
        <w:ind w:right="-136" w:firstLine="0"/>
        <w:jc w:val="both"/>
        <w:rPr>
          <w:b/>
          <w:bCs/>
          <w:sz w:val="22"/>
          <w:szCs w:val="22"/>
          <w:lang w:val="en-US"/>
        </w:rPr>
      </w:pPr>
      <w:r>
        <w:rPr>
          <w:b/>
          <w:bCs/>
          <w:sz w:val="22"/>
          <w:szCs w:val="22"/>
          <w:lang w:val="en-US"/>
        </w:rPr>
        <w:t>Menko PMK Dampingi Presiden Resmikan Lapangan Tenis GBK Senayan</w:t>
      </w:r>
    </w:p>
    <w:p>
      <w:pPr>
        <w:pStyle w:val="style0"/>
        <w:widowControl w:val="false"/>
        <w:spacing w:before="0" w:after="0" w:lineRule="auto" w:line="240"/>
        <w:ind w:right="-136" w:firstLine="0"/>
        <w:jc w:val="both"/>
        <w:rPr/>
      </w:pPr>
    </w:p>
    <w:p>
      <w:pPr>
        <w:pStyle w:val="style0"/>
        <w:widowControl w:val="false"/>
        <w:spacing w:before="0" w:after="0" w:lineRule="auto" w:line="240"/>
        <w:ind w:right="-136" w:firstLine="0"/>
        <w:jc w:val="both"/>
        <w:rPr>
          <w:lang w:val="en-US"/>
        </w:rPr>
      </w:pPr>
      <w:r>
        <w:rPr>
          <w:lang w:val="en-US"/>
        </w:rPr>
        <w:t xml:space="preserve">Jakarta (03/02) – Menteri Koordinator Bidang Pembangunan Manusia (Menko PMK), Puan Maharani mendampingi Presiden Joko Widodo (Jokowi) saat meresmikan renovasi lapangan tenis terbuka dan tertutup Gelora Bung Karno, di lapangan teknis terbuka, kompleks Gelora Bung Karno, Jakarta Selatan, Sabtu (3/2). </w:t>
      </w:r>
    </w:p>
    <w:p>
      <w:pPr>
        <w:pStyle w:val="style0"/>
        <w:widowControl w:val="false"/>
        <w:spacing w:before="0" w:after="0" w:lineRule="auto" w:line="240"/>
        <w:ind w:right="-136" w:firstLine="0"/>
        <w:jc w:val="both"/>
        <w:rPr>
          <w:lang w:val="en-US"/>
        </w:rPr>
      </w:pPr>
    </w:p>
    <w:p>
      <w:pPr>
        <w:pStyle w:val="style0"/>
        <w:widowControl w:val="false"/>
        <w:spacing w:before="0" w:after="0" w:lineRule="auto" w:line="240"/>
        <w:ind w:right="-136" w:firstLine="0"/>
        <w:jc w:val="both"/>
        <w:rPr>
          <w:lang w:val="en-US"/>
        </w:rPr>
      </w:pPr>
      <w:r>
        <w:rPr>
          <w:lang w:val="en-US"/>
        </w:rPr>
        <w:t>Sebelumnya, Menko PMK juga menghadiri peresmian Istora Senayan dan Lapangan Utama GBK yang diresmikan langsung oleh Presiden Jokowi, Januari lalu. Renovasi 14 venue sendiri dilakukan dalam rangka pelaksanaan Asian Games 2018, Agustus mendatang. Hal ini disampaikan Presiden Joko Widodo dalam sambutannya.</w:t>
      </w:r>
    </w:p>
    <w:p>
      <w:pPr>
        <w:pStyle w:val="style0"/>
        <w:widowControl w:val="false"/>
        <w:spacing w:before="0" w:after="0" w:lineRule="auto" w:line="240"/>
        <w:ind w:right="-136" w:firstLine="0"/>
        <w:jc w:val="both"/>
        <w:rPr/>
      </w:pPr>
    </w:p>
    <w:p>
      <w:pPr>
        <w:pStyle w:val="style0"/>
        <w:widowControl w:val="false"/>
        <w:spacing w:before="0" w:after="0" w:lineRule="auto" w:line="240"/>
        <w:ind w:right="-136" w:firstLine="0"/>
        <w:jc w:val="both"/>
        <w:rPr>
          <w:lang w:val="en-US"/>
        </w:rPr>
      </w:pPr>
      <w:r>
        <w:rPr>
          <w:lang w:val="en-US"/>
        </w:rPr>
        <w:t xml:space="preserve">"Setiap hari, kesiapan Indonesia untuk menyongsong Asian Games 2018 kelihatan sekali semakin siap. Karena venue-venue yang ingin digunakan, satu persatu telah diselesaikan," ujar Presiden Jokowi dalam sambutannya. </w:t>
      </w:r>
    </w:p>
    <w:p>
      <w:pPr>
        <w:pStyle w:val="style0"/>
        <w:widowControl w:val="false"/>
        <w:spacing w:before="0" w:after="0" w:lineRule="auto" w:line="240"/>
        <w:ind w:right="-136" w:firstLine="0"/>
        <w:jc w:val="both"/>
        <w:rPr/>
      </w:pPr>
    </w:p>
    <w:p>
      <w:pPr>
        <w:pStyle w:val="style0"/>
        <w:widowControl w:val="false"/>
        <w:spacing w:before="0" w:after="0" w:lineRule="auto" w:line="240"/>
        <w:ind w:right="-136" w:firstLine="0"/>
        <w:jc w:val="both"/>
        <w:rPr>
          <w:lang w:val="en-US"/>
        </w:rPr>
      </w:pPr>
      <w:r>
        <w:rPr>
          <w:lang w:val="en-US"/>
        </w:rPr>
        <w:t>Peresmian ini merupakan peremian ketujuh dari total 14 venue yang dilakukan renovasi. Sebelumnya, Presiden telah meresmikan Istora Senayan, Stadion Utama GBK, Lapangan Hoki, Lapangan Panahan, Lapangan Sepak Bola ABC, dan Stadion Renang/Aquatik.</w:t>
      </w:r>
    </w:p>
    <w:p>
      <w:pPr>
        <w:pStyle w:val="style0"/>
        <w:widowControl w:val="false"/>
        <w:spacing w:before="0" w:after="0" w:lineRule="auto" w:line="240"/>
        <w:ind w:right="-136" w:firstLine="0"/>
        <w:jc w:val="both"/>
        <w:rPr/>
      </w:pPr>
    </w:p>
    <w:p>
      <w:pPr>
        <w:pStyle w:val="style0"/>
        <w:widowControl w:val="false"/>
        <w:spacing w:before="0" w:after="0" w:lineRule="auto" w:line="240"/>
        <w:ind w:right="-136" w:firstLine="0"/>
        <w:jc w:val="both"/>
        <w:rPr>
          <w:lang w:val="en-US"/>
        </w:rPr>
      </w:pPr>
      <w:r>
        <w:rPr>
          <w:lang w:val="en-US"/>
        </w:rPr>
        <w:t>"Dengan mengucap Bismillahirrohmanirrohim, renovasi lapangan tenis terbuka dan tertutup Gelora Bung Karno, saya resmikan," ujar Presiden Jokowi</w:t>
      </w:r>
      <w:r>
        <w:rPr>
          <w:lang w:val="en-US"/>
        </w:rPr>
        <w:t>.</w:t>
      </w:r>
    </w:p>
    <w:p>
      <w:pPr>
        <w:pStyle w:val="style0"/>
        <w:widowControl w:val="false"/>
        <w:spacing w:before="0" w:after="0" w:lineRule="auto" w:line="240"/>
        <w:ind w:right="-136" w:firstLine="0"/>
        <w:jc w:val="both"/>
        <w:rPr/>
      </w:pPr>
    </w:p>
    <w:p>
      <w:pPr>
        <w:pStyle w:val="style0"/>
        <w:widowControl w:val="false"/>
        <w:spacing w:before="0" w:after="0" w:lineRule="auto" w:line="240"/>
        <w:ind w:right="-136" w:firstLine="0"/>
        <w:jc w:val="both"/>
        <w:rPr>
          <w:lang w:val="en-US"/>
        </w:rPr>
      </w:pPr>
      <w:r>
        <w:rPr>
          <w:lang w:val="en-US"/>
        </w:rPr>
        <w:t xml:space="preserve">Dalam laporannya, Menteri Pekerjaan Umum dan Perumahan Rakyat, Basuki Hadimuljono menyampaikan bahwa renovasi Lapangan Tenis Indoor dan Outdoor Centercourt GBK dilaksanakan sejak September 2016 hingga Desember 2017 dengan nilai pekerjaan Rp 92.8 miliar yang dilaksanakan oleh Penyedia Jasa Konstruksi PT Brantas Abipraya. </w:t>
      </w:r>
    </w:p>
    <w:p>
      <w:pPr>
        <w:pStyle w:val="style0"/>
        <w:widowControl w:val="false"/>
        <w:spacing w:before="0" w:after="0" w:lineRule="auto" w:line="240"/>
        <w:ind w:right="-136" w:firstLine="0"/>
        <w:jc w:val="both"/>
        <w:rPr/>
      </w:pPr>
    </w:p>
    <w:p>
      <w:pPr>
        <w:pStyle w:val="style0"/>
        <w:widowControl w:val="false"/>
        <w:spacing w:before="0" w:after="0" w:lineRule="auto" w:line="240"/>
        <w:ind w:right="-136" w:firstLine="0"/>
        <w:jc w:val="both"/>
        <w:rPr>
          <w:lang w:val="en-US"/>
        </w:rPr>
      </w:pPr>
      <w:r>
        <w:rPr>
          <w:lang w:val="en-US"/>
        </w:rPr>
        <w:t>Renovasi Lapangan Tenis Outdoor Centercourt GBK merupakan salah satu dari 6 bangunan cagar budaya di kawasan GBK.</w:t>
      </w:r>
      <w:r>
        <w:rPr>
          <w:lang w:val="en-US"/>
        </w:rPr>
        <w:t xml:space="preserve"> La</w:t>
      </w:r>
      <w:r>
        <w:rPr>
          <w:lang w:val="en-US"/>
        </w:rPr>
        <w:t xml:space="preserve">pangan tenis outdoor dilengkapi dengan 3.832 kursi </w:t>
      </w:r>
      <w:r>
        <w:rPr>
          <w:lang w:val="en-US"/>
        </w:rPr>
        <w:t>s</w:t>
      </w:r>
      <w:r>
        <w:rPr>
          <w:lang w:val="en-US"/>
        </w:rPr>
        <w:t>edangkan lapangan tenis indoor memiliki kapasitas 3.954 kursi</w:t>
      </w:r>
      <w:r>
        <w:rPr>
          <w:lang w:val="en-US"/>
        </w:rPr>
        <w:t xml:space="preserve">. </w:t>
      </w:r>
      <w:r>
        <w:rPr>
          <w:lang w:val="en-US"/>
        </w:rPr>
        <w:t>Usai peresmian, lapangan Tennis Outdoor Senayan langsung digunakan untuk kualifikasi Asia/Oceania Zone Group II First Round Davis Cup antara Indonesia melawan Filipina.</w:t>
      </w:r>
    </w:p>
    <w:p>
      <w:pPr>
        <w:pStyle w:val="style0"/>
        <w:widowControl w:val="false"/>
        <w:spacing w:before="0" w:after="0" w:lineRule="auto" w:line="240"/>
        <w:ind w:right="-136" w:firstLine="0"/>
        <w:jc w:val="both"/>
        <w:rPr/>
      </w:pPr>
    </w:p>
    <w:p>
      <w:pPr>
        <w:pStyle w:val="style0"/>
        <w:widowControl w:val="false"/>
        <w:spacing w:before="0" w:after="0" w:lineRule="auto" w:line="240"/>
        <w:ind w:right="-136" w:firstLine="0"/>
        <w:jc w:val="both"/>
        <w:rPr>
          <w:lang w:val="en-US"/>
        </w:rPr>
      </w:pPr>
      <w:r>
        <w:rPr>
          <w:lang w:val="en-US"/>
        </w:rPr>
        <w:t xml:space="preserve">Selain Menko PMK, hadir pula Menteri Koordinator Bidang Politik, Hukum, dan Keamanan, Wiranto; Menteri Pekerjaan Umum dan Perumahan Rakyat, Basuki Hadimuljono; Menteri Sekretaris Negara, Pratikno, </w:t>
      </w:r>
      <w:r>
        <w:rPr>
          <w:lang w:val="en-US"/>
        </w:rPr>
        <w:t>K</w:t>
      </w:r>
      <w:r>
        <w:rPr>
          <w:lang w:val="en-US"/>
        </w:rPr>
        <w:t>epala Staf Kepresidenan, Moeldoko, dan Gubernur DKI Jakarta, Anies Baswedan.</w:t>
      </w:r>
    </w:p>
    <w:p>
      <w:pPr>
        <w:pStyle w:val="style0"/>
        <w:widowControl w:val="false"/>
        <w:spacing w:before="0" w:after="0" w:lineRule="auto" w:line="240"/>
        <w:ind w:right="-136" w:firstLine="0"/>
        <w:jc w:val="both"/>
        <w:rPr>
          <w:b/>
        </w:rPr>
      </w:pPr>
    </w:p>
    <w:p>
      <w:pPr>
        <w:pStyle w:val="style0"/>
        <w:widowControl w:val="false"/>
        <w:spacing w:before="0" w:after="0" w:lineRule="auto" w:line="240"/>
        <w:jc w:val="both"/>
        <w:rPr>
          <w:rFonts w:cs="Gill Sans MT"/>
          <w:iCs/>
          <w:sz w:val="20"/>
          <w:szCs w:val="20"/>
          <w:lang w:val="en-029"/>
        </w:rPr>
      </w:pPr>
      <w:r>
        <w:rPr>
          <w:rFonts w:cs="Gill Sans MT"/>
          <w:iCs/>
          <w:sz w:val="20"/>
          <w:szCs w:val="20"/>
          <w:lang w:val="en-029"/>
        </w:rPr>
        <w:t>**************</w:t>
      </w:r>
    </w:p>
    <w:p>
      <w:pPr>
        <w:pStyle w:val="style0"/>
        <w:widowControl w:val="false"/>
        <w:spacing w:before="0" w:after="0" w:lineRule="auto" w:line="240"/>
        <w:jc w:val="both"/>
        <w:rPr>
          <w:rFonts w:cs="Gill Sans MT"/>
          <w:i/>
          <w:iCs/>
          <w:sz w:val="16"/>
          <w:szCs w:val="16"/>
        </w:rPr>
      </w:pPr>
      <w:r>
        <w:rPr>
          <w:rFonts w:cs="Gill Sans MT"/>
          <w:i/>
          <w:iCs/>
          <w:sz w:val="16"/>
          <w:szCs w:val="16"/>
        </w:rPr>
        <w:t>Bagian Humas dan Perpustakaan,</w:t>
      </w:r>
    </w:p>
    <w:p>
      <w:pPr>
        <w:pStyle w:val="style0"/>
        <w:widowControl w:val="false"/>
        <w:spacing w:before="0" w:after="0" w:lineRule="auto" w:line="240"/>
        <w:jc w:val="both"/>
        <w:rPr>
          <w:rFonts w:cs="Gill Sans MT"/>
          <w:i/>
          <w:iCs/>
          <w:sz w:val="16"/>
          <w:szCs w:val="16"/>
          <w:lang w:val="en-029"/>
        </w:rPr>
      </w:pPr>
      <w:r>
        <w:rPr>
          <w:rFonts w:cs="Gill Sans MT"/>
          <w:i/>
          <w:iCs/>
          <w:sz w:val="16"/>
          <w:szCs w:val="16"/>
          <w:lang w:val="en-029"/>
        </w:rPr>
        <w:t>Biro Hukum, Informasi dan Persidangan</w:t>
      </w:r>
    </w:p>
    <w:p>
      <w:pPr>
        <w:pStyle w:val="style0"/>
        <w:widowControl w:val="false"/>
        <w:spacing w:before="0" w:after="0" w:lineRule="auto" w:line="240"/>
        <w:jc w:val="both"/>
        <w:rPr>
          <w:rFonts w:cs="Gill Sans MT"/>
          <w:i/>
          <w:iCs/>
          <w:sz w:val="16"/>
          <w:szCs w:val="16"/>
          <w:lang w:val="en-029"/>
        </w:rPr>
      </w:pPr>
      <w:r>
        <w:rPr>
          <w:rFonts w:cs="Gill Sans MT"/>
          <w:i/>
          <w:iCs/>
          <w:sz w:val="16"/>
          <w:szCs w:val="16"/>
          <w:lang w:val="en-029"/>
        </w:rPr>
        <w:t>Kementerian Koordinator Bidang Pembangunan Manusia dan Kebudayaan</w:t>
      </w:r>
    </w:p>
    <w:p>
      <w:pPr>
        <w:pStyle w:val="style0"/>
        <w:widowControl w:val="false"/>
        <w:spacing w:before="0" w:after="0" w:lineRule="auto" w:line="240"/>
        <w:jc w:val="both"/>
        <w:rPr>
          <w:rFonts w:cs="Gill Sans MT"/>
          <w:i/>
          <w:iCs/>
          <w:sz w:val="16"/>
          <w:szCs w:val="16"/>
          <w:lang w:val="en-029"/>
        </w:rPr>
      </w:pPr>
      <w:r>
        <w:rPr>
          <w:rFonts w:cs="Gill Sans MT"/>
          <w:i/>
          <w:iCs/>
          <w:sz w:val="16"/>
          <w:szCs w:val="16"/>
          <w:lang w:val="en-029"/>
        </w:rPr>
        <w:t>roinfohumas@kemenkopmk.go.id</w:t>
      </w:r>
    </w:p>
    <w:p>
      <w:pPr>
        <w:pStyle w:val="style0"/>
        <w:widowControl w:val="false"/>
        <w:spacing w:before="0" w:after="0" w:lineRule="auto" w:line="240"/>
        <w:jc w:val="both"/>
        <w:rPr/>
      </w:pPr>
      <w:r>
        <w:rPr/>
        <w:fldChar w:fldCharType="begin"/>
      </w:r>
      <w:r>
        <w:instrText xml:space="preserve"> HYPERLINK "http://www.kemenkopmk.go.id/" </w:instrText>
      </w:r>
      <w:r>
        <w:rPr/>
        <w:fldChar w:fldCharType="separate"/>
      </w:r>
      <w:r>
        <w:rPr>
          <w:rStyle w:val="style4097"/>
          <w:rFonts w:cs="Gill Sans MT"/>
          <w:i/>
          <w:iCs/>
          <w:sz w:val="16"/>
          <w:szCs w:val="16"/>
          <w:lang w:val="en-029"/>
        </w:rPr>
        <w:t>www.kemenkopmk.go.id</w:t>
      </w:r>
      <w:r>
        <w:rPr/>
        <w:fldChar w:fldCharType="end"/>
      </w:r>
    </w:p>
    <w:p>
      <w:pPr>
        <w:pStyle w:val="style0"/>
        <w:widowControl w:val="false"/>
        <w:spacing w:before="0" w:after="0" w:lineRule="auto" w:line="240"/>
        <w:jc w:val="both"/>
        <w:rPr>
          <w:rFonts w:cs="Gill Sans MT"/>
          <w:i/>
          <w:iCs/>
          <w:sz w:val="16"/>
          <w:szCs w:val="16"/>
        </w:rPr>
      </w:pPr>
      <w:r>
        <w:rPr>
          <w:rFonts w:cs="Gill Sans MT"/>
          <w:i/>
          <w:iCs/>
          <w:sz w:val="16"/>
          <w:szCs w:val="16"/>
        </w:rPr>
        <w:t>Twitter @kemenkopmk</w:t>
      </w:r>
    </w:p>
    <w:p>
      <w:pPr>
        <w:pStyle w:val="style0"/>
        <w:widowControl/>
        <w:bidi w:val="false"/>
        <w:spacing w:before="0" w:after="200" w:lineRule="auto" w:line="276"/>
        <w:jc w:val="left"/>
        <w:rPr/>
      </w:pPr>
      <w:r>
        <w:t xml:space="preserve"> </w:t>
      </w:r>
    </w:p>
    <w:sectPr>
      <w:type w:val="nextPage"/>
      <w:pgSz w:w="11906" w:h="16838" w:orient="portrait"/>
      <w:pgMar w:top="851" w:right="1440" w:bottom="851" w:left="1440" w:header="0" w:footer="0" w:gutter="0"/>
      <w:pgNumType w:fmt="decimal"/>
      <w:textDirection w:val="lrTb"/>
      <w:docGrid w:type="default" w:linePitch="360" w:charSpace="21474836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7a"/>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pPrDefault>
  </w:docDefaults>
  <w:style w:type="paragraph" w:default="1" w:styleId="style0">
    <w:name w:val="Normal"/>
    <w:next w:val="style0"/>
    <w:qFormat/>
    <w:pPr>
      <w:widowControl/>
      <w:bidi w:val="false"/>
      <w:spacing w:before="0" w:after="200" w:lineRule="auto" w:line="276"/>
      <w:jc w:val="left"/>
    </w:pPr>
    <w:rPr>
      <w:rFonts w:ascii="Calibri" w:cs="宋体" w:eastAsia="Calibri" w:hAnsi="Calibri"/>
      <w:color w:val="auto"/>
      <w:sz w:val="22"/>
      <w:szCs w:val="22"/>
      <w:lang w:val="id-ID" w:bidi="ar-SA" w:eastAsia="en-US"/>
    </w:rPr>
  </w:style>
  <w:style w:type="character" w:default="1" w:styleId="style65">
    <w:name w:val="Default Paragraph Font"/>
    <w:next w:val="style65"/>
    <w:qFormat/>
    <w:uiPriority w:val="1"/>
  </w:style>
  <w:style w:type="character" w:customStyle="1" w:styleId="style4097">
    <w:name w:val="Internet Link"/>
    <w:basedOn w:val="style65"/>
    <w:next w:val="style4097"/>
    <w:uiPriority w:val="99"/>
    <w:rPr>
      <w:color w:val="0000ff"/>
      <w:u w:val="single"/>
    </w:rPr>
  </w:style>
  <w:style w:type="paragraph" w:customStyle="1" w:styleId="style4098">
    <w:name w:val="Heading"/>
    <w:basedOn w:val="style0"/>
    <w:next w:val="style66"/>
    <w:qFormat/>
    <w:pPr>
      <w:keepNext/>
      <w:spacing w:before="240" w:after="120"/>
    </w:pPr>
    <w:rPr>
      <w:rFonts w:ascii="Liberation Sans" w:cs="Lucida Sans" w:eastAsia="SimSun" w:hAnsi="Liberation Sans"/>
      <w:sz w:val="28"/>
      <w:szCs w:val="28"/>
    </w:rPr>
  </w:style>
  <w:style w:type="paragraph" w:styleId="style66">
    <w:name w:val="Body Text"/>
    <w:basedOn w:val="style0"/>
    <w:next w:val="style66"/>
    <w:pPr>
      <w:spacing w:before="0" w:after="140" w:lineRule="auto" w:line="288"/>
    </w:pPr>
    <w:rPr/>
  </w:style>
  <w:style w:type="paragraph" w:styleId="style47">
    <w:name w:val="List"/>
    <w:basedOn w:val="style66"/>
    <w:next w:val="style47"/>
    <w:pPr/>
    <w:rPr>
      <w:rFonts w:cs="Lucida Sans"/>
    </w:rPr>
  </w:style>
  <w:style w:type="paragraph" w:customStyle="1" w:styleId="style4099">
    <w:name w:val="Caption"/>
    <w:basedOn w:val="style0"/>
    <w:next w:val="style4099"/>
    <w:qFormat/>
    <w:pPr>
      <w:suppressLineNumbers/>
      <w:spacing w:before="120" w:after="120"/>
    </w:pPr>
    <w:rPr>
      <w:rFonts w:cs="Lucida Sans"/>
      <w:i/>
      <w:iCs/>
      <w:sz w:val="24"/>
      <w:szCs w:val="24"/>
    </w:rPr>
  </w:style>
  <w:style w:type="paragraph" w:customStyle="1" w:styleId="style4100">
    <w:name w:val="Index"/>
    <w:basedOn w:val="style0"/>
    <w:next w:val="style4100"/>
    <w:qFormat/>
    <w:pPr>
      <w:suppressLineNumbers/>
    </w:pPr>
    <w:rPr>
      <w:rFonts w:cs="Lucida Sans"/>
    </w:rPr>
  </w:style>
  <w:style w:type="numbering" w:default="1" w:styleId="style107">
    <w:name w:val="No List"/>
    <w:next w:val="style107"/>
    <w:qFormat/>
    <w:uiPriority w:val="99"/>
    <w:p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331</Words>
  <Pages>2</Pages>
  <Characters>2280</Characters>
  <Application>WPS Office</Application>
  <Paragraphs>38</Paragraphs>
  <Company>Hewlett-Packard Company</Company>
  <CharactersWithSpaces>2655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2018-02-03T04:00:41Z</dcterms:created>
  <dc:creator>ROIP-4X</dc:creator>
  <dc:language>en-ID</dc:language>
  <lastModifiedBy>SM-A310F</lastModifiedBy>
  <lastPrinted>2018-01-31T05:14:00Z</lastPrinted>
  <dcterms:modified xsi:type="dcterms:W3CDTF">2018-02-03T04:00:41Z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